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5DE" w:rsidRDefault="004B55DE" w:rsidP="004B55DE">
      <w:pPr>
        <w:jc w:val="center"/>
        <w:rPr>
          <w:rFonts w:ascii="Times New Roman" w:eastAsia="Times New Roman" w:hAnsi="Times New Roman" w:cs="Times New Roman"/>
          <w:bCs/>
          <w:sz w:val="24"/>
          <w:szCs w:val="24"/>
        </w:rPr>
      </w:pPr>
      <w:bookmarkStart w:id="0" w:name="_GoBack"/>
      <w:bookmarkEnd w:id="0"/>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Homework 1</w:t>
      </w:r>
    </w:p>
    <w:p w:rsidR="004B55DE" w:rsidRDefault="004B55DE" w:rsidP="004B55D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rsidR="004B55DE" w:rsidRDefault="004B55DE" w:rsidP="004B55D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 of Affiliation</w:t>
      </w: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p>
    <w:p w:rsidR="004B55DE" w:rsidRDefault="004B55DE" w:rsidP="004B55D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Homework 1</w:t>
      </w:r>
    </w:p>
    <w:p w:rsidR="004B55DE" w:rsidRPr="004B55DE" w:rsidRDefault="004B55DE" w:rsidP="004B55DE">
      <w:pPr>
        <w:jc w:val="center"/>
        <w:rPr>
          <w:rFonts w:ascii="Times New Roman" w:eastAsia="Times New Roman" w:hAnsi="Times New Roman" w:cs="Times New Roman"/>
          <w:b/>
          <w:bCs/>
          <w:sz w:val="24"/>
          <w:szCs w:val="24"/>
        </w:rPr>
      </w:pPr>
      <w:r w:rsidRPr="004B55DE">
        <w:rPr>
          <w:rFonts w:ascii="Times New Roman" w:eastAsia="Times New Roman" w:hAnsi="Times New Roman" w:cs="Times New Roman"/>
          <w:b/>
          <w:bCs/>
          <w:sz w:val="24"/>
          <w:szCs w:val="24"/>
        </w:rPr>
        <w:t>1</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Contrabands are unauthorized items or goods that are brought into or found in prisons. It's usually a criminal offense to own or bring a contraband item into the prison premises. They include communication gadgets, drugs, and weapons. These items get into the prison through smuggling by prison visitors, prison security personnel and new inmates (Cheeseman, 2014). Contrabands pose a particular risk to this environment and therefore there is the need for thorough detection and confiscation of these items before they get into the wrong hands.</w:t>
      </w:r>
    </w:p>
    <w:p w:rsidR="004B55DE" w:rsidRPr="004B55DE" w:rsidRDefault="004B55DE" w:rsidP="004B55DE">
      <w:pPr>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It is </w:t>
      </w:r>
      <w:r w:rsidRPr="004B55DE">
        <w:rPr>
          <w:rFonts w:ascii="Times New Roman" w:eastAsia="Times New Roman" w:hAnsi="Times New Roman" w:cs="Times New Roman"/>
          <w:bCs/>
          <w:sz w:val="24"/>
          <w:szCs w:val="24"/>
        </w:rPr>
        <w:t>important for the prisons to control contrabands in prisons for various reasons. Contraband can act as a source of power for prisoners over others. Prisoners who have the monopoly of contrabands such as weapons and drugs can use them to blackmail fellow prisoners and organize prison violence (Simmons, 2017). The prisoners can also use these contrabands to start gambling and ask for protection. The overall effect of gambling and blackmailing is payback violence and destabilized security within prison walls. It is important to confiscate weapons to prevent rampant killings, suicides, and injuries within prison walls. According to Morris and Worrall (2014), drugs and money can be used to bribe prison staff to escape prison or gain access to more contraband. Mobile phones can be used to blackmail and threaten witnesses in undergoing investigations. Confiscation prevents the intrusion into legal processes. It's also important to prevent entry of illicit drugs into prisons because these drugs contribute to violence, disorderliness, and deaths. The search for contraband creates conflicts between the inmates and prison staff (Simmons, 2017). This is because the owners of this contraband feel that their bargaining power in prison has been taken away. They, therefore, tend to become defiant, violent and irritable. Inmates may feel that their privacy has been intruded during these searches.</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lastRenderedPageBreak/>
        <w:t>In conclusion, contrabands are illegal items and can destabilize security within prisons by acting as sources of power and as weapons to attack fellow inmates. Others such as mobile phones can be used to blackmail and block legal processes outside prison. The need for prevention of access to contraband creates conflicts between staff and inmates. However, the overall benefit of prison searches is very important in the maintenance of prison security and order.</w:t>
      </w:r>
    </w:p>
    <w:p w:rsidR="004B55DE" w:rsidRPr="004B55DE" w:rsidRDefault="004B55DE" w:rsidP="004B55DE">
      <w:pPr>
        <w:jc w:val="center"/>
        <w:rPr>
          <w:rFonts w:ascii="Times New Roman" w:eastAsia="Times New Roman" w:hAnsi="Times New Roman" w:cs="Times New Roman"/>
          <w:b/>
          <w:bCs/>
          <w:sz w:val="24"/>
          <w:szCs w:val="24"/>
        </w:rPr>
      </w:pPr>
      <w:r w:rsidRPr="004B55DE">
        <w:rPr>
          <w:rFonts w:ascii="Times New Roman" w:eastAsia="Times New Roman" w:hAnsi="Times New Roman" w:cs="Times New Roman"/>
          <w:b/>
          <w:bCs/>
          <w:sz w:val="24"/>
          <w:szCs w:val="24"/>
        </w:rPr>
        <w:t>2</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Security Threat Groups are formal or informal groups of prison inmates.  They are organized in prisons but their activities can be felt outside.  Their memberships require commitment, mutual respect, and loyalty. They operate under strict rules and codes (Schmalleger et al., 2014). Their behavior is usually violence and hostility towards rival gangs and prison warden.  They deal in contraband such as drugs, money, and weapon thus running a form of underground economy.</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Some investigators describe these groups as domestic terrorist groups. Their argument is that they deal with illegal items such as weapons and drugs. They sponsor violence within prisons whereby many inmates and wardens are seriously injured or killed (</w:t>
      </w:r>
      <w:proofErr w:type="spellStart"/>
      <w:r w:rsidRPr="004B55DE">
        <w:rPr>
          <w:rFonts w:ascii="Times New Roman" w:eastAsia="Times New Roman" w:hAnsi="Times New Roman" w:cs="Times New Roman"/>
          <w:bCs/>
          <w:sz w:val="24"/>
          <w:szCs w:val="24"/>
        </w:rPr>
        <w:t>Jongman</w:t>
      </w:r>
      <w:proofErr w:type="spellEnd"/>
      <w:r w:rsidRPr="004B55DE">
        <w:rPr>
          <w:rFonts w:ascii="Times New Roman" w:eastAsia="Times New Roman" w:hAnsi="Times New Roman" w:cs="Times New Roman"/>
          <w:bCs/>
          <w:sz w:val="24"/>
          <w:szCs w:val="24"/>
        </w:rPr>
        <w:t>, 2017).  These are acts of terror.  Through contraband such as mobile phone, they are able to organize assault, blackmailing, murder and kidnapping outside prison by using other people. Their influence over gangs in the street enables them to sponsor terror in the community (</w:t>
      </w:r>
      <w:proofErr w:type="spellStart"/>
      <w:r w:rsidRPr="004B55DE">
        <w:rPr>
          <w:rFonts w:ascii="Times New Roman" w:eastAsia="Times New Roman" w:hAnsi="Times New Roman" w:cs="Times New Roman"/>
          <w:bCs/>
          <w:sz w:val="24"/>
          <w:szCs w:val="24"/>
        </w:rPr>
        <w:t>Jongman</w:t>
      </w:r>
      <w:proofErr w:type="spellEnd"/>
      <w:r w:rsidRPr="004B55DE">
        <w:rPr>
          <w:rFonts w:ascii="Times New Roman" w:eastAsia="Times New Roman" w:hAnsi="Times New Roman" w:cs="Times New Roman"/>
          <w:bCs/>
          <w:sz w:val="24"/>
          <w:szCs w:val="24"/>
        </w:rPr>
        <w:t xml:space="preserve">, 2017). In my opinion, this description of the STGs as domestic terror groups is appropriate because their acts of violence, assault, murder and kidnapping in and out of prison are acts of terrorism. </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lastRenderedPageBreak/>
        <w:t>In conclusion, Security Threat Groups pose a major challenge to safety within and outside the prison and thus should be handled as domestic terror groups. Their organized terror operations and handling of illegal goods interrupt the normal operations of the correction facilities and the outside community.</w:t>
      </w:r>
    </w:p>
    <w:p w:rsidR="004B55DE" w:rsidRPr="004B55DE" w:rsidRDefault="004B55DE" w:rsidP="004B55DE">
      <w:pPr>
        <w:jc w:val="center"/>
        <w:rPr>
          <w:rFonts w:ascii="Times New Roman" w:eastAsia="Times New Roman" w:hAnsi="Times New Roman" w:cs="Times New Roman"/>
          <w:b/>
          <w:bCs/>
          <w:sz w:val="24"/>
          <w:szCs w:val="24"/>
        </w:rPr>
      </w:pPr>
      <w:r w:rsidRPr="004B55DE">
        <w:rPr>
          <w:rFonts w:ascii="Times New Roman" w:eastAsia="Times New Roman" w:hAnsi="Times New Roman" w:cs="Times New Roman"/>
          <w:b/>
          <w:bCs/>
          <w:sz w:val="24"/>
          <w:szCs w:val="24"/>
        </w:rPr>
        <w:t>3</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 xml:space="preserve">Reentry programs are strategies that are put in place to receive prisoners back in the society. Most prisoners after being released from prison do not have money, jobs, a place to live and sometimes people to talk to (Moore, 2016). They are therefore exposed to the same pressures that landed them in prison. Reentry programs can be provided by prison facilities before a prisoner is released or by an outside facility.  It's important to ensure that ex-offenders are properly absorbed back into the society. </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 xml:space="preserve">Different questions and issues need to be addressed when designing a reentry program for nonviolent offenders.  According to Epperson and </w:t>
      </w:r>
      <w:proofErr w:type="spellStart"/>
      <w:r w:rsidRPr="004B55DE">
        <w:rPr>
          <w:rFonts w:ascii="Times New Roman" w:eastAsia="Times New Roman" w:hAnsi="Times New Roman" w:cs="Times New Roman"/>
          <w:bCs/>
          <w:sz w:val="24"/>
          <w:szCs w:val="24"/>
        </w:rPr>
        <w:t>Sarpiya</w:t>
      </w:r>
      <w:proofErr w:type="spellEnd"/>
      <w:r w:rsidRPr="004B55DE">
        <w:rPr>
          <w:rFonts w:ascii="Times New Roman" w:eastAsia="Times New Roman" w:hAnsi="Times New Roman" w:cs="Times New Roman"/>
          <w:bCs/>
          <w:sz w:val="24"/>
          <w:szCs w:val="24"/>
        </w:rPr>
        <w:t xml:space="preserve"> (2016), the first question to be addressed is whether nonviolent offender understands the need for the process. Will the program be successful or a waste of money? Is the program likely to fully prepare the nonviolent offender to be accepted back in the society?  Will the offender be able to finish the program?  Is the society read to accept the offender and do they understand the need for the program? Some of the activities to be included in the program include counseling both the nonviolent offender and the family, creating awareness of the program to the society and providing education courses to those willing to go back to school (Moore, 2016). They can also be offered jobs, money and a place to stay before they can settle down on the own. </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 xml:space="preserve">In conclusion, reentry programs are very important in successfully accepting nonviolent offenders back in the society. They enable them to smoothly transit into the society and prevent </w:t>
      </w:r>
      <w:r w:rsidRPr="004B55DE">
        <w:rPr>
          <w:rFonts w:ascii="Times New Roman" w:eastAsia="Times New Roman" w:hAnsi="Times New Roman" w:cs="Times New Roman"/>
          <w:bCs/>
          <w:sz w:val="24"/>
          <w:szCs w:val="24"/>
        </w:rPr>
        <w:lastRenderedPageBreak/>
        <w:t>them from going back to the criminal life. To achieve this, different issues must be addressed in the program such as the overall benefit of the program and if the offender is ready to be incorporated into the society. Activities that I recommend for inclusion into the program include the provision of counseling, education, money and a job to the offender.</w:t>
      </w:r>
    </w:p>
    <w:p w:rsidR="004B55DE" w:rsidRPr="004B55DE" w:rsidRDefault="004B55DE" w:rsidP="004B55DE">
      <w:pPr>
        <w:jc w:val="center"/>
        <w:rPr>
          <w:rFonts w:ascii="Times New Roman" w:eastAsia="Times New Roman" w:hAnsi="Times New Roman" w:cs="Times New Roman"/>
          <w:b/>
          <w:bCs/>
          <w:sz w:val="24"/>
          <w:szCs w:val="24"/>
        </w:rPr>
      </w:pPr>
      <w:r w:rsidRPr="004B55DE">
        <w:rPr>
          <w:rFonts w:ascii="Times New Roman" w:eastAsia="Times New Roman" w:hAnsi="Times New Roman" w:cs="Times New Roman"/>
          <w:b/>
          <w:bCs/>
          <w:sz w:val="24"/>
          <w:szCs w:val="24"/>
        </w:rPr>
        <w:t>4</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Special Housing Units or SHUs are rooms where very violent criminals are confined in isolation for a given period of time as a form of punishment. It is an extreme form of punishment whereby the prisoner is denied any form of human contact (Smith, 2015). Some of the behaviors that can earn one such form of punishment include persistent violence and noncompliance and being found in possession of contraband. They can also be used to prevent prisoners from committing suicide by preventing the access to tools of self-harm.</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In my opinion, SHUs are not a good solution for the realities in the today's prisons. Lack of human contact can predispose the inmate to psychological trauma and depression (Stone, 2017). Some prisoners even become mad during and after release from these units.  Their physiological status can deteriorate due to prolonged physical inactivity (Stone, 2017).  They may develop anxiety attacks, migraines, and high blood pressure. Some inmates even develop suicidal tendencies after being released due to the mental torture.</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 xml:space="preserve">In conclusion, I think SHUs should not be used as the solution to the realities in prisons due to the serious negative effects on the health of the inmate. They should use other forms of punishment such confinement to isolated rooms but which allow human contact or denying the offender privileges such as entertainment and visiting the gym.  </w:t>
      </w:r>
    </w:p>
    <w:p w:rsidR="004B55DE" w:rsidRPr="004B55DE" w:rsidRDefault="004B55DE" w:rsidP="004B55DE">
      <w:pPr>
        <w:jc w:val="center"/>
        <w:rPr>
          <w:rFonts w:ascii="Times New Roman" w:eastAsia="Times New Roman" w:hAnsi="Times New Roman" w:cs="Times New Roman"/>
          <w:b/>
          <w:bCs/>
          <w:sz w:val="24"/>
          <w:szCs w:val="24"/>
        </w:rPr>
      </w:pPr>
      <w:r w:rsidRPr="004B55DE">
        <w:rPr>
          <w:rFonts w:ascii="Times New Roman" w:eastAsia="Times New Roman" w:hAnsi="Times New Roman" w:cs="Times New Roman"/>
          <w:b/>
          <w:bCs/>
          <w:sz w:val="24"/>
          <w:szCs w:val="24"/>
        </w:rPr>
        <w:t>5</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lastRenderedPageBreak/>
        <w:t>Pretrial confinement refers to the physical restraint that is imposed on a person waiting for disposition of charges. It is imposed on an individual by order of authorities (</w:t>
      </w:r>
      <w:proofErr w:type="spellStart"/>
      <w:r w:rsidRPr="004B55DE">
        <w:rPr>
          <w:rFonts w:ascii="Times New Roman" w:eastAsia="Times New Roman" w:hAnsi="Times New Roman" w:cs="Times New Roman"/>
          <w:bCs/>
          <w:sz w:val="24"/>
          <w:szCs w:val="24"/>
        </w:rPr>
        <w:t>Seiter</w:t>
      </w:r>
      <w:proofErr w:type="spellEnd"/>
      <w:r w:rsidRPr="004B55DE">
        <w:rPr>
          <w:rFonts w:ascii="Times New Roman" w:eastAsia="Times New Roman" w:hAnsi="Times New Roman" w:cs="Times New Roman"/>
          <w:bCs/>
          <w:sz w:val="24"/>
          <w:szCs w:val="24"/>
        </w:rPr>
        <w:t>, 2016). The purposes for pretrial confinement include preservation of the judicial integrity and witness protection. The alternatives to pretrial confinement include, release under least restrictive conditions, conditions on liberty and restriction in lieu of arrest (</w:t>
      </w:r>
      <w:proofErr w:type="spellStart"/>
      <w:r w:rsidRPr="004B55DE">
        <w:rPr>
          <w:rFonts w:ascii="Times New Roman" w:eastAsia="Times New Roman" w:hAnsi="Times New Roman" w:cs="Times New Roman"/>
          <w:bCs/>
          <w:sz w:val="24"/>
          <w:szCs w:val="24"/>
        </w:rPr>
        <w:t>Leka</w:t>
      </w:r>
      <w:proofErr w:type="spellEnd"/>
      <w:r w:rsidRPr="004B55DE">
        <w:rPr>
          <w:rFonts w:ascii="Times New Roman" w:eastAsia="Times New Roman" w:hAnsi="Times New Roman" w:cs="Times New Roman"/>
          <w:bCs/>
          <w:sz w:val="24"/>
          <w:szCs w:val="24"/>
        </w:rPr>
        <w:t xml:space="preserve">, 2017). </w:t>
      </w:r>
    </w:p>
    <w:p w:rsidR="004B55DE" w:rsidRP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In release under least restrictive conditions, the court releases the suspect under the least restrictive conditions to ensure that defendant can attend proceedings in the court. In restriction in lieu of arrest, the defendant is ordered to remain within specified limits such as school or home (</w:t>
      </w:r>
      <w:proofErr w:type="spellStart"/>
      <w:r w:rsidRPr="004B55DE">
        <w:rPr>
          <w:rFonts w:ascii="Times New Roman" w:eastAsia="Times New Roman" w:hAnsi="Times New Roman" w:cs="Times New Roman"/>
          <w:bCs/>
          <w:sz w:val="24"/>
          <w:szCs w:val="24"/>
        </w:rPr>
        <w:t>Leka</w:t>
      </w:r>
      <w:proofErr w:type="spellEnd"/>
      <w:r w:rsidRPr="004B55DE">
        <w:rPr>
          <w:rFonts w:ascii="Times New Roman" w:eastAsia="Times New Roman" w:hAnsi="Times New Roman" w:cs="Times New Roman"/>
          <w:bCs/>
          <w:sz w:val="24"/>
          <w:szCs w:val="24"/>
        </w:rPr>
        <w:t>, 2017). In the conditions of liberty, the person is ordered to refrain from doing specific acts.</w:t>
      </w:r>
    </w:p>
    <w:p w:rsidR="004B55DE" w:rsidRDefault="004B55DE" w:rsidP="004B55DE">
      <w:pPr>
        <w:ind w:firstLine="720"/>
        <w:rPr>
          <w:rFonts w:ascii="Times New Roman" w:eastAsia="Times New Roman" w:hAnsi="Times New Roman" w:cs="Times New Roman"/>
          <w:bCs/>
          <w:sz w:val="24"/>
          <w:szCs w:val="24"/>
        </w:rPr>
      </w:pPr>
      <w:r w:rsidRPr="004B55DE">
        <w:rPr>
          <w:rFonts w:ascii="Times New Roman" w:eastAsia="Times New Roman" w:hAnsi="Times New Roman" w:cs="Times New Roman"/>
          <w:bCs/>
          <w:sz w:val="24"/>
          <w:szCs w:val="24"/>
        </w:rPr>
        <w:t>In conclusion, the alternatives to pretrial confinement aim at giving the defendant some form of freedom, allow active participation in drug treatment and prevent psychological trauma that might hinder the defendant from defending him/herself.</w:t>
      </w: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ind w:firstLine="720"/>
        <w:rPr>
          <w:rFonts w:ascii="Times New Roman" w:eastAsia="Times New Roman" w:hAnsi="Times New Roman" w:cs="Times New Roman"/>
          <w:bCs/>
          <w:sz w:val="24"/>
          <w:szCs w:val="24"/>
        </w:rPr>
      </w:pPr>
    </w:p>
    <w:p w:rsidR="004B55DE" w:rsidRDefault="004B55DE" w:rsidP="004B55DE">
      <w:pPr>
        <w:rPr>
          <w:rFonts w:ascii="Times New Roman" w:eastAsia="Times New Roman" w:hAnsi="Times New Roman" w:cs="Times New Roman"/>
          <w:bCs/>
          <w:sz w:val="24"/>
          <w:szCs w:val="24"/>
        </w:rPr>
      </w:pPr>
    </w:p>
    <w:p w:rsidR="004B55DE" w:rsidRPr="006F57C4" w:rsidRDefault="00996B52" w:rsidP="004B55DE">
      <w:pPr>
        <w:jc w:val="center"/>
        <w:rPr>
          <w:rFonts w:ascii="Times New Roman" w:eastAsia="Times New Roman" w:hAnsi="Times New Roman" w:cs="Times New Roman"/>
          <w:sz w:val="24"/>
          <w:szCs w:val="24"/>
        </w:rPr>
      </w:pPr>
      <w:r w:rsidRPr="004B55DE">
        <w:rPr>
          <w:rFonts w:ascii="Times New Roman" w:eastAsia="Times New Roman" w:hAnsi="Times New Roman" w:cs="Times New Roman"/>
          <w:sz w:val="24"/>
          <w:szCs w:val="24"/>
        </w:rPr>
        <w:lastRenderedPageBreak/>
        <w:t>References</w:t>
      </w:r>
    </w:p>
    <w:p w:rsidR="004B55DE" w:rsidRPr="006F57C4" w:rsidRDefault="004B55DE" w:rsidP="004B55DE">
      <w:pPr>
        <w:ind w:left="720" w:hanging="720"/>
        <w:rPr>
          <w:rFonts w:ascii="Times New Roman" w:eastAsia="Times New Roman" w:hAnsi="Times New Roman" w:cs="Times New Roman"/>
          <w:sz w:val="24"/>
          <w:szCs w:val="24"/>
        </w:rPr>
      </w:pPr>
      <w:r w:rsidRPr="006F57C4">
        <w:rPr>
          <w:rFonts w:ascii="Times New Roman" w:eastAsia="Times New Roman" w:hAnsi="Times New Roman" w:cs="Times New Roman"/>
          <w:sz w:val="24"/>
          <w:szCs w:val="24"/>
        </w:rPr>
        <w:t xml:space="preserve">Cheeseman, K. (2014). Correctional staff and management. </w:t>
      </w:r>
      <w:r w:rsidRPr="006F57C4">
        <w:rPr>
          <w:rFonts w:ascii="Times New Roman" w:eastAsia="Times New Roman" w:hAnsi="Times New Roman" w:cs="Times New Roman"/>
          <w:i/>
          <w:iCs/>
          <w:sz w:val="24"/>
          <w:szCs w:val="24"/>
        </w:rPr>
        <w:t>Prisons today and tomorrow</w:t>
      </w:r>
      <w:r w:rsidRPr="006F57C4">
        <w:rPr>
          <w:rFonts w:ascii="Times New Roman" w:eastAsia="Times New Roman" w:hAnsi="Times New Roman" w:cs="Times New Roman"/>
          <w:sz w:val="24"/>
          <w:szCs w:val="24"/>
        </w:rPr>
        <w:t>, 203-232.</w:t>
      </w:r>
    </w:p>
    <w:p w:rsidR="004B55DE" w:rsidRPr="002D45E0" w:rsidRDefault="004B55DE" w:rsidP="004B55DE">
      <w:pPr>
        <w:ind w:left="720" w:hanging="720"/>
        <w:rPr>
          <w:rFonts w:ascii="Times New Roman" w:eastAsia="Times New Roman" w:hAnsi="Times New Roman" w:cs="Times New Roman"/>
          <w:sz w:val="24"/>
          <w:szCs w:val="24"/>
        </w:rPr>
      </w:pPr>
      <w:r w:rsidRPr="002D45E0">
        <w:rPr>
          <w:rFonts w:ascii="Times New Roman" w:eastAsia="Times New Roman" w:hAnsi="Times New Roman" w:cs="Times New Roman"/>
          <w:sz w:val="24"/>
          <w:szCs w:val="24"/>
        </w:rPr>
        <w:t xml:space="preserve">Epperson, C., &amp; </w:t>
      </w:r>
      <w:proofErr w:type="spellStart"/>
      <w:r w:rsidRPr="002D45E0">
        <w:rPr>
          <w:rFonts w:ascii="Times New Roman" w:eastAsia="Times New Roman" w:hAnsi="Times New Roman" w:cs="Times New Roman"/>
          <w:sz w:val="24"/>
          <w:szCs w:val="24"/>
        </w:rPr>
        <w:t>Sarpiya</w:t>
      </w:r>
      <w:proofErr w:type="spellEnd"/>
      <w:r w:rsidRPr="002D45E0">
        <w:rPr>
          <w:rFonts w:ascii="Times New Roman" w:eastAsia="Times New Roman" w:hAnsi="Times New Roman" w:cs="Times New Roman"/>
          <w:sz w:val="24"/>
          <w:szCs w:val="24"/>
        </w:rPr>
        <w:t xml:space="preserve">, R. S. (2016). Just Policing: Constitutional Policing and Nonviolence in a Context of Structural Racism. </w:t>
      </w:r>
      <w:r w:rsidRPr="002D45E0">
        <w:rPr>
          <w:rFonts w:ascii="Times New Roman" w:eastAsia="Times New Roman" w:hAnsi="Times New Roman" w:cs="Times New Roman"/>
          <w:i/>
          <w:iCs/>
          <w:sz w:val="24"/>
          <w:szCs w:val="24"/>
        </w:rPr>
        <w:t>Juniata Voices</w:t>
      </w:r>
      <w:r w:rsidRPr="002D45E0">
        <w:rPr>
          <w:rFonts w:ascii="Times New Roman" w:eastAsia="Times New Roman" w:hAnsi="Times New Roman" w:cs="Times New Roman"/>
          <w:sz w:val="24"/>
          <w:szCs w:val="24"/>
        </w:rPr>
        <w:t xml:space="preserve">, </w:t>
      </w:r>
      <w:r w:rsidRPr="002D45E0">
        <w:rPr>
          <w:rFonts w:ascii="Times New Roman" w:eastAsia="Times New Roman" w:hAnsi="Times New Roman" w:cs="Times New Roman"/>
          <w:i/>
          <w:iCs/>
          <w:sz w:val="24"/>
          <w:szCs w:val="24"/>
        </w:rPr>
        <w:t>16</w:t>
      </w:r>
      <w:r w:rsidRPr="002D45E0">
        <w:rPr>
          <w:rFonts w:ascii="Times New Roman" w:eastAsia="Times New Roman" w:hAnsi="Times New Roman" w:cs="Times New Roman"/>
          <w:sz w:val="24"/>
          <w:szCs w:val="24"/>
        </w:rPr>
        <w:t>, 169.</w:t>
      </w:r>
    </w:p>
    <w:p w:rsidR="004B55DE" w:rsidRPr="002D45E0" w:rsidRDefault="004B55DE" w:rsidP="004B55DE">
      <w:pPr>
        <w:ind w:left="720" w:hanging="720"/>
        <w:rPr>
          <w:rFonts w:ascii="Times New Roman" w:eastAsia="Times New Roman" w:hAnsi="Times New Roman" w:cs="Times New Roman"/>
          <w:sz w:val="24"/>
          <w:szCs w:val="24"/>
        </w:rPr>
      </w:pPr>
      <w:proofErr w:type="spellStart"/>
      <w:r w:rsidRPr="002D45E0">
        <w:rPr>
          <w:rFonts w:ascii="Times New Roman" w:eastAsia="Times New Roman" w:hAnsi="Times New Roman" w:cs="Times New Roman"/>
          <w:sz w:val="24"/>
          <w:szCs w:val="24"/>
        </w:rPr>
        <w:t>Jongman</w:t>
      </w:r>
      <w:proofErr w:type="spellEnd"/>
      <w:r w:rsidRPr="002D45E0">
        <w:rPr>
          <w:rFonts w:ascii="Times New Roman" w:eastAsia="Times New Roman" w:hAnsi="Times New Roman" w:cs="Times New Roman"/>
          <w:sz w:val="24"/>
          <w:szCs w:val="24"/>
        </w:rPr>
        <w:t xml:space="preserve">, A. J. (2017). </w:t>
      </w:r>
      <w:r w:rsidRPr="002D45E0">
        <w:rPr>
          <w:rFonts w:ascii="Times New Roman" w:eastAsia="Times New Roman" w:hAnsi="Times New Roman" w:cs="Times New Roman"/>
          <w:i/>
          <w:iCs/>
          <w:sz w:val="24"/>
          <w:szCs w:val="24"/>
        </w:rPr>
        <w:t>Political terrorism: A new guide to actors, authors, concepts, data bases, theories, and literature</w:t>
      </w:r>
      <w:r w:rsidRPr="002D45E0">
        <w:rPr>
          <w:rFonts w:ascii="Times New Roman" w:eastAsia="Times New Roman" w:hAnsi="Times New Roman" w:cs="Times New Roman"/>
          <w:sz w:val="24"/>
          <w:szCs w:val="24"/>
        </w:rPr>
        <w:t>. Routledge.</w:t>
      </w:r>
    </w:p>
    <w:p w:rsidR="004B55DE" w:rsidRPr="00425AF8" w:rsidRDefault="004B55DE" w:rsidP="004B55DE">
      <w:pPr>
        <w:ind w:left="720" w:hanging="720"/>
        <w:rPr>
          <w:rFonts w:ascii="Times New Roman" w:eastAsia="Times New Roman" w:hAnsi="Times New Roman" w:cs="Times New Roman"/>
          <w:sz w:val="24"/>
          <w:szCs w:val="24"/>
        </w:rPr>
      </w:pPr>
      <w:proofErr w:type="spellStart"/>
      <w:r w:rsidRPr="00425AF8">
        <w:rPr>
          <w:rFonts w:ascii="Times New Roman" w:eastAsia="Times New Roman" w:hAnsi="Times New Roman" w:cs="Times New Roman"/>
          <w:sz w:val="24"/>
          <w:szCs w:val="24"/>
        </w:rPr>
        <w:t>Leka</w:t>
      </w:r>
      <w:proofErr w:type="spellEnd"/>
      <w:r w:rsidRPr="00425AF8">
        <w:rPr>
          <w:rFonts w:ascii="Times New Roman" w:eastAsia="Times New Roman" w:hAnsi="Times New Roman" w:cs="Times New Roman"/>
          <w:sz w:val="24"/>
          <w:szCs w:val="24"/>
        </w:rPr>
        <w:t xml:space="preserve">, A. (2017). Impact of Offenses in Alternative Sentences. </w:t>
      </w:r>
      <w:r w:rsidRPr="00425AF8">
        <w:rPr>
          <w:rFonts w:ascii="Times New Roman" w:eastAsia="Times New Roman" w:hAnsi="Times New Roman" w:cs="Times New Roman"/>
          <w:i/>
          <w:iCs/>
          <w:sz w:val="24"/>
          <w:szCs w:val="24"/>
        </w:rPr>
        <w:t>EJLS European Journal of Language and Literature Studies Articles</w:t>
      </w:r>
      <w:r w:rsidRPr="00425AF8">
        <w:rPr>
          <w:rFonts w:ascii="Times New Roman" w:eastAsia="Times New Roman" w:hAnsi="Times New Roman" w:cs="Times New Roman"/>
          <w:sz w:val="24"/>
          <w:szCs w:val="24"/>
        </w:rPr>
        <w:t xml:space="preserve">, </w:t>
      </w:r>
      <w:r w:rsidRPr="00425AF8">
        <w:rPr>
          <w:rFonts w:ascii="Times New Roman" w:eastAsia="Times New Roman" w:hAnsi="Times New Roman" w:cs="Times New Roman"/>
          <w:i/>
          <w:iCs/>
          <w:sz w:val="24"/>
          <w:szCs w:val="24"/>
        </w:rPr>
        <w:t>7</w:t>
      </w:r>
      <w:r w:rsidRPr="00425AF8">
        <w:rPr>
          <w:rFonts w:ascii="Times New Roman" w:eastAsia="Times New Roman" w:hAnsi="Times New Roman" w:cs="Times New Roman"/>
          <w:sz w:val="24"/>
          <w:szCs w:val="24"/>
        </w:rPr>
        <w:t>.</w:t>
      </w:r>
    </w:p>
    <w:p w:rsidR="004B55DE" w:rsidRPr="002D45E0" w:rsidRDefault="004B55DE" w:rsidP="004B55DE">
      <w:pPr>
        <w:ind w:left="720" w:hanging="720"/>
        <w:rPr>
          <w:rFonts w:ascii="Times New Roman" w:eastAsia="Times New Roman" w:hAnsi="Times New Roman" w:cs="Times New Roman"/>
          <w:sz w:val="24"/>
          <w:szCs w:val="24"/>
        </w:rPr>
      </w:pPr>
      <w:r w:rsidRPr="002D45E0">
        <w:rPr>
          <w:rFonts w:ascii="Times New Roman" w:eastAsia="Times New Roman" w:hAnsi="Times New Roman" w:cs="Times New Roman"/>
          <w:sz w:val="24"/>
          <w:szCs w:val="24"/>
        </w:rPr>
        <w:t xml:space="preserve">Moore, R. (2016). </w:t>
      </w:r>
      <w:r w:rsidRPr="002D45E0">
        <w:rPr>
          <w:rFonts w:ascii="Times New Roman" w:eastAsia="Times New Roman" w:hAnsi="Times New Roman" w:cs="Times New Roman"/>
          <w:i/>
          <w:iCs/>
          <w:sz w:val="24"/>
          <w:szCs w:val="24"/>
        </w:rPr>
        <w:t>Leadership styles and their impact on substance abuse reentry programs</w:t>
      </w:r>
      <w:r w:rsidRPr="002D45E0">
        <w:rPr>
          <w:rFonts w:ascii="Times New Roman" w:eastAsia="Times New Roman" w:hAnsi="Times New Roman" w:cs="Times New Roman"/>
          <w:sz w:val="24"/>
          <w:szCs w:val="24"/>
        </w:rPr>
        <w:t xml:space="preserve"> (Doctoral dissertation, Colorado Technical University).</w:t>
      </w:r>
    </w:p>
    <w:p w:rsidR="004B55DE" w:rsidRDefault="004B55DE" w:rsidP="004B55DE">
      <w:pPr>
        <w:ind w:left="720" w:hanging="720"/>
        <w:rPr>
          <w:rFonts w:ascii="Times New Roman" w:eastAsia="Times New Roman" w:hAnsi="Times New Roman" w:cs="Times New Roman"/>
          <w:sz w:val="24"/>
          <w:szCs w:val="24"/>
        </w:rPr>
      </w:pPr>
      <w:r w:rsidRPr="006F57C4">
        <w:rPr>
          <w:rFonts w:ascii="Times New Roman" w:eastAsia="Times New Roman" w:hAnsi="Times New Roman" w:cs="Times New Roman"/>
          <w:sz w:val="24"/>
          <w:szCs w:val="24"/>
        </w:rPr>
        <w:t xml:space="preserve">Morris, R. G., &amp; Worrall, J. L. (2014). Prison architecture and inmate misconduct: A multilevel assessment. </w:t>
      </w:r>
      <w:r w:rsidRPr="006F57C4">
        <w:rPr>
          <w:rFonts w:ascii="Times New Roman" w:eastAsia="Times New Roman" w:hAnsi="Times New Roman" w:cs="Times New Roman"/>
          <w:i/>
          <w:iCs/>
          <w:sz w:val="24"/>
          <w:szCs w:val="24"/>
        </w:rPr>
        <w:t>Crime &amp; Delinquency</w:t>
      </w:r>
      <w:r w:rsidRPr="006F57C4">
        <w:rPr>
          <w:rFonts w:ascii="Times New Roman" w:eastAsia="Times New Roman" w:hAnsi="Times New Roman" w:cs="Times New Roman"/>
          <w:sz w:val="24"/>
          <w:szCs w:val="24"/>
        </w:rPr>
        <w:t xml:space="preserve">, </w:t>
      </w:r>
      <w:r w:rsidRPr="006F57C4">
        <w:rPr>
          <w:rFonts w:ascii="Times New Roman" w:eastAsia="Times New Roman" w:hAnsi="Times New Roman" w:cs="Times New Roman"/>
          <w:i/>
          <w:iCs/>
          <w:sz w:val="24"/>
          <w:szCs w:val="24"/>
        </w:rPr>
        <w:t>60</w:t>
      </w:r>
      <w:r w:rsidRPr="006F57C4">
        <w:rPr>
          <w:rFonts w:ascii="Times New Roman" w:eastAsia="Times New Roman" w:hAnsi="Times New Roman" w:cs="Times New Roman"/>
          <w:sz w:val="24"/>
          <w:szCs w:val="24"/>
        </w:rPr>
        <w:t>(7), 1083-1109.</w:t>
      </w:r>
    </w:p>
    <w:p w:rsidR="004B55DE" w:rsidRPr="002D45E0" w:rsidRDefault="004B55DE" w:rsidP="004B55DE">
      <w:pPr>
        <w:ind w:left="720" w:hanging="720"/>
        <w:rPr>
          <w:rFonts w:ascii="Times New Roman" w:eastAsia="Times New Roman" w:hAnsi="Times New Roman" w:cs="Times New Roman"/>
          <w:sz w:val="24"/>
          <w:szCs w:val="24"/>
        </w:rPr>
      </w:pPr>
      <w:r w:rsidRPr="002D45E0">
        <w:rPr>
          <w:rFonts w:ascii="Times New Roman" w:eastAsia="Times New Roman" w:hAnsi="Times New Roman" w:cs="Times New Roman"/>
          <w:sz w:val="24"/>
          <w:szCs w:val="24"/>
        </w:rPr>
        <w:t xml:space="preserve">Schmalleger, F., Donaldson, S., </w:t>
      </w:r>
      <w:proofErr w:type="spellStart"/>
      <w:r w:rsidRPr="002D45E0">
        <w:rPr>
          <w:rFonts w:ascii="Times New Roman" w:eastAsia="Times New Roman" w:hAnsi="Times New Roman" w:cs="Times New Roman"/>
          <w:sz w:val="24"/>
          <w:szCs w:val="24"/>
        </w:rPr>
        <w:t>Kashiwahara</w:t>
      </w:r>
      <w:proofErr w:type="spellEnd"/>
      <w:r w:rsidRPr="002D45E0">
        <w:rPr>
          <w:rFonts w:ascii="Times New Roman" w:eastAsia="Times New Roman" w:hAnsi="Times New Roman" w:cs="Times New Roman"/>
          <w:sz w:val="24"/>
          <w:szCs w:val="24"/>
        </w:rPr>
        <w:t xml:space="preserve">, K., </w:t>
      </w:r>
      <w:proofErr w:type="spellStart"/>
      <w:r w:rsidRPr="002D45E0">
        <w:rPr>
          <w:rFonts w:ascii="Times New Roman" w:eastAsia="Times New Roman" w:hAnsi="Times New Roman" w:cs="Times New Roman"/>
          <w:sz w:val="24"/>
          <w:szCs w:val="24"/>
        </w:rPr>
        <w:t>Koppal</w:t>
      </w:r>
      <w:proofErr w:type="spellEnd"/>
      <w:r w:rsidRPr="002D45E0">
        <w:rPr>
          <w:rFonts w:ascii="Times New Roman" w:eastAsia="Times New Roman" w:hAnsi="Times New Roman" w:cs="Times New Roman"/>
          <w:sz w:val="24"/>
          <w:szCs w:val="24"/>
        </w:rPr>
        <w:t>, T., Chase, S., Brown, A</w:t>
      </w:r>
      <w:proofErr w:type="gramStart"/>
      <w:r w:rsidRPr="002D45E0">
        <w:rPr>
          <w:rFonts w:ascii="Times New Roman" w:eastAsia="Times New Roman" w:hAnsi="Times New Roman" w:cs="Times New Roman"/>
          <w:sz w:val="24"/>
          <w:szCs w:val="24"/>
        </w:rPr>
        <w:t>., ...</w:t>
      </w:r>
      <w:proofErr w:type="gramEnd"/>
      <w:r w:rsidRPr="002D45E0">
        <w:rPr>
          <w:rFonts w:ascii="Times New Roman" w:eastAsia="Times New Roman" w:hAnsi="Times New Roman" w:cs="Times New Roman"/>
          <w:sz w:val="24"/>
          <w:szCs w:val="24"/>
        </w:rPr>
        <w:t xml:space="preserve"> &amp; </w:t>
      </w:r>
      <w:proofErr w:type="spellStart"/>
      <w:r w:rsidRPr="002D45E0">
        <w:rPr>
          <w:rFonts w:ascii="Times New Roman" w:eastAsia="Times New Roman" w:hAnsi="Times New Roman" w:cs="Times New Roman"/>
          <w:sz w:val="24"/>
          <w:szCs w:val="24"/>
        </w:rPr>
        <w:t>Marash</w:t>
      </w:r>
      <w:proofErr w:type="spellEnd"/>
      <w:r w:rsidRPr="002D45E0">
        <w:rPr>
          <w:rFonts w:ascii="Times New Roman" w:eastAsia="Times New Roman" w:hAnsi="Times New Roman" w:cs="Times New Roman"/>
          <w:sz w:val="24"/>
          <w:szCs w:val="24"/>
        </w:rPr>
        <w:t xml:space="preserve">, D. (2014). </w:t>
      </w:r>
      <w:r w:rsidRPr="002D45E0">
        <w:rPr>
          <w:rFonts w:ascii="Times New Roman" w:eastAsia="Times New Roman" w:hAnsi="Times New Roman" w:cs="Times New Roman"/>
          <w:i/>
          <w:iCs/>
          <w:sz w:val="24"/>
          <w:szCs w:val="24"/>
        </w:rPr>
        <w:t>Criminal justice today</w:t>
      </w:r>
      <w:r w:rsidRPr="002D45E0">
        <w:rPr>
          <w:rFonts w:ascii="Times New Roman" w:eastAsia="Times New Roman" w:hAnsi="Times New Roman" w:cs="Times New Roman"/>
          <w:sz w:val="24"/>
          <w:szCs w:val="24"/>
        </w:rPr>
        <w:t>. Prentice Hall.</w:t>
      </w:r>
    </w:p>
    <w:p w:rsidR="004B55DE" w:rsidRPr="00425AF8" w:rsidRDefault="004B55DE" w:rsidP="004B55DE">
      <w:pPr>
        <w:ind w:left="720" w:hanging="720"/>
        <w:rPr>
          <w:rFonts w:ascii="Times New Roman" w:eastAsia="Times New Roman" w:hAnsi="Times New Roman" w:cs="Times New Roman"/>
          <w:sz w:val="24"/>
          <w:szCs w:val="24"/>
        </w:rPr>
      </w:pPr>
      <w:proofErr w:type="spellStart"/>
      <w:r w:rsidRPr="00425AF8">
        <w:rPr>
          <w:rFonts w:ascii="Times New Roman" w:eastAsia="Times New Roman" w:hAnsi="Times New Roman" w:cs="Times New Roman"/>
          <w:sz w:val="24"/>
          <w:szCs w:val="24"/>
        </w:rPr>
        <w:t>Seiter</w:t>
      </w:r>
      <w:proofErr w:type="spellEnd"/>
      <w:r w:rsidRPr="00425AF8">
        <w:rPr>
          <w:rFonts w:ascii="Times New Roman" w:eastAsia="Times New Roman" w:hAnsi="Times New Roman" w:cs="Times New Roman"/>
          <w:sz w:val="24"/>
          <w:szCs w:val="24"/>
        </w:rPr>
        <w:t xml:space="preserve">, R. P. (2016). </w:t>
      </w:r>
      <w:r w:rsidRPr="00425AF8">
        <w:rPr>
          <w:rFonts w:ascii="Times New Roman" w:eastAsia="Times New Roman" w:hAnsi="Times New Roman" w:cs="Times New Roman"/>
          <w:i/>
          <w:iCs/>
          <w:sz w:val="24"/>
          <w:szCs w:val="24"/>
        </w:rPr>
        <w:t>Corrections: an introduction</w:t>
      </w:r>
      <w:r w:rsidRPr="00425AF8">
        <w:rPr>
          <w:rFonts w:ascii="Times New Roman" w:eastAsia="Times New Roman" w:hAnsi="Times New Roman" w:cs="Times New Roman"/>
          <w:sz w:val="24"/>
          <w:szCs w:val="24"/>
        </w:rPr>
        <w:t>. Prentice Hall.</w:t>
      </w:r>
    </w:p>
    <w:p w:rsidR="004B55DE" w:rsidRPr="006F57C4" w:rsidRDefault="004B55DE" w:rsidP="004B55DE">
      <w:pPr>
        <w:ind w:left="720" w:hanging="720"/>
        <w:rPr>
          <w:rFonts w:ascii="Times New Roman" w:eastAsia="Times New Roman" w:hAnsi="Times New Roman" w:cs="Times New Roman"/>
          <w:sz w:val="24"/>
          <w:szCs w:val="24"/>
        </w:rPr>
      </w:pPr>
      <w:r w:rsidRPr="006F57C4">
        <w:rPr>
          <w:rFonts w:ascii="Times New Roman" w:eastAsia="Times New Roman" w:hAnsi="Times New Roman" w:cs="Times New Roman"/>
          <w:sz w:val="24"/>
          <w:szCs w:val="24"/>
        </w:rPr>
        <w:t xml:space="preserve">Simmons, R. (2017). Predictors of Job Satisfaction </w:t>
      </w:r>
      <w:proofErr w:type="gramStart"/>
      <w:r w:rsidRPr="006F57C4">
        <w:rPr>
          <w:rFonts w:ascii="Times New Roman" w:eastAsia="Times New Roman" w:hAnsi="Times New Roman" w:cs="Times New Roman"/>
          <w:sz w:val="24"/>
          <w:szCs w:val="24"/>
        </w:rPr>
        <w:t>Among</w:t>
      </w:r>
      <w:proofErr w:type="gramEnd"/>
      <w:r w:rsidRPr="006F57C4">
        <w:rPr>
          <w:rFonts w:ascii="Times New Roman" w:eastAsia="Times New Roman" w:hAnsi="Times New Roman" w:cs="Times New Roman"/>
          <w:sz w:val="24"/>
          <w:szCs w:val="24"/>
        </w:rPr>
        <w:t xml:space="preserve"> County Jail Correctional Officers.</w:t>
      </w:r>
    </w:p>
    <w:p w:rsidR="004B55DE" w:rsidRPr="00425AF8" w:rsidRDefault="004B55DE" w:rsidP="004B55DE">
      <w:pPr>
        <w:ind w:left="720" w:hanging="720"/>
        <w:rPr>
          <w:rFonts w:ascii="Times New Roman" w:eastAsia="Times New Roman" w:hAnsi="Times New Roman" w:cs="Times New Roman"/>
          <w:sz w:val="24"/>
          <w:szCs w:val="24"/>
        </w:rPr>
      </w:pPr>
      <w:r w:rsidRPr="00425AF8">
        <w:rPr>
          <w:rFonts w:ascii="Times New Roman" w:eastAsia="Times New Roman" w:hAnsi="Times New Roman" w:cs="Times New Roman"/>
          <w:sz w:val="24"/>
          <w:szCs w:val="24"/>
        </w:rPr>
        <w:t xml:space="preserve">Smith, R. (2015). </w:t>
      </w:r>
      <w:r w:rsidRPr="00425AF8">
        <w:rPr>
          <w:rFonts w:ascii="Times New Roman" w:eastAsia="Times New Roman" w:hAnsi="Times New Roman" w:cs="Times New Roman"/>
          <w:i/>
          <w:iCs/>
          <w:sz w:val="24"/>
          <w:szCs w:val="24"/>
        </w:rPr>
        <w:t>Prison conditions: overcrowding, disease, violence, and abuse</w:t>
      </w:r>
      <w:r w:rsidRPr="00425AF8">
        <w:rPr>
          <w:rFonts w:ascii="Times New Roman" w:eastAsia="Times New Roman" w:hAnsi="Times New Roman" w:cs="Times New Roman"/>
          <w:sz w:val="24"/>
          <w:szCs w:val="24"/>
        </w:rPr>
        <w:t>. Simon and Schuster.</w:t>
      </w:r>
    </w:p>
    <w:p w:rsidR="004B55DE" w:rsidRPr="00425AF8" w:rsidRDefault="004B55DE" w:rsidP="004B55DE">
      <w:pPr>
        <w:ind w:left="720" w:hanging="720"/>
        <w:rPr>
          <w:rFonts w:ascii="Times New Roman" w:eastAsia="Times New Roman" w:hAnsi="Times New Roman" w:cs="Times New Roman"/>
          <w:sz w:val="24"/>
          <w:szCs w:val="24"/>
        </w:rPr>
      </w:pPr>
      <w:r w:rsidRPr="00425AF8">
        <w:rPr>
          <w:rFonts w:ascii="Times New Roman" w:eastAsia="Times New Roman" w:hAnsi="Times New Roman" w:cs="Times New Roman"/>
          <w:sz w:val="24"/>
          <w:szCs w:val="24"/>
        </w:rPr>
        <w:t>Stone, A. (2017). Protective Custody Inmates.</w:t>
      </w:r>
    </w:p>
    <w:p w:rsidR="00E9454C" w:rsidRDefault="00E9454C"/>
    <w:sectPr w:rsidR="00E9454C" w:rsidSect="004B55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8AF" w:rsidRDefault="001728AF" w:rsidP="004B55DE">
      <w:pPr>
        <w:spacing w:line="240" w:lineRule="auto"/>
      </w:pPr>
      <w:r>
        <w:separator/>
      </w:r>
    </w:p>
  </w:endnote>
  <w:endnote w:type="continuationSeparator" w:id="0">
    <w:p w:rsidR="001728AF" w:rsidRDefault="001728AF" w:rsidP="004B55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8AF" w:rsidRDefault="001728AF" w:rsidP="004B55DE">
      <w:pPr>
        <w:spacing w:line="240" w:lineRule="auto"/>
      </w:pPr>
      <w:r>
        <w:separator/>
      </w:r>
    </w:p>
  </w:footnote>
  <w:footnote w:type="continuationSeparator" w:id="0">
    <w:p w:rsidR="001728AF" w:rsidRDefault="001728AF" w:rsidP="004B55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5DE" w:rsidRPr="004B55DE" w:rsidRDefault="004B55DE">
    <w:pPr>
      <w:pStyle w:val="Header"/>
      <w:jc w:val="right"/>
      <w:rPr>
        <w:rFonts w:ascii="Times New Roman" w:hAnsi="Times New Roman" w:cs="Times New Roman"/>
        <w:sz w:val="24"/>
        <w:szCs w:val="24"/>
      </w:rPr>
    </w:pPr>
    <w:r w:rsidRPr="004B55DE">
      <w:rPr>
        <w:rFonts w:ascii="Times New Roman" w:hAnsi="Times New Roman" w:cs="Times New Roman"/>
        <w:sz w:val="24"/>
        <w:szCs w:val="24"/>
      </w:rPr>
      <w:t>HOMEWORK 1</w:t>
    </w:r>
    <w:sdt>
      <w:sdtPr>
        <w:rPr>
          <w:rFonts w:ascii="Times New Roman" w:hAnsi="Times New Roman" w:cs="Times New Roman"/>
          <w:sz w:val="24"/>
          <w:szCs w:val="24"/>
        </w:rPr>
        <w:id w:val="110391723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B55DE">
          <w:rPr>
            <w:rFonts w:ascii="Times New Roman" w:hAnsi="Times New Roman" w:cs="Times New Roman"/>
            <w:sz w:val="24"/>
            <w:szCs w:val="24"/>
          </w:rPr>
          <w:fldChar w:fldCharType="begin"/>
        </w:r>
        <w:r w:rsidRPr="004B55DE">
          <w:rPr>
            <w:rFonts w:ascii="Times New Roman" w:hAnsi="Times New Roman" w:cs="Times New Roman"/>
            <w:sz w:val="24"/>
            <w:szCs w:val="24"/>
          </w:rPr>
          <w:instrText xml:space="preserve"> PAGE   \* MERGEFORMAT </w:instrText>
        </w:r>
        <w:r w:rsidRPr="004B55DE">
          <w:rPr>
            <w:rFonts w:ascii="Times New Roman" w:hAnsi="Times New Roman" w:cs="Times New Roman"/>
            <w:sz w:val="24"/>
            <w:szCs w:val="24"/>
          </w:rPr>
          <w:fldChar w:fldCharType="separate"/>
        </w:r>
        <w:r w:rsidR="009623BE">
          <w:rPr>
            <w:rFonts w:ascii="Times New Roman" w:hAnsi="Times New Roman" w:cs="Times New Roman"/>
            <w:noProof/>
            <w:sz w:val="24"/>
            <w:szCs w:val="24"/>
          </w:rPr>
          <w:t>7</w:t>
        </w:r>
        <w:r w:rsidRPr="004B55DE">
          <w:rPr>
            <w:rFonts w:ascii="Times New Roman" w:hAnsi="Times New Roman" w:cs="Times New Roman"/>
            <w:noProof/>
            <w:sz w:val="24"/>
            <w:szCs w:val="24"/>
          </w:rPr>
          <w:fldChar w:fldCharType="end"/>
        </w:r>
      </w:sdtContent>
    </w:sdt>
  </w:p>
  <w:p w:rsidR="004B55DE" w:rsidRDefault="004B55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5DE" w:rsidRPr="004B55DE" w:rsidRDefault="004B55DE">
    <w:pPr>
      <w:pStyle w:val="Header"/>
      <w:jc w:val="right"/>
      <w:rPr>
        <w:rFonts w:ascii="Times New Roman" w:hAnsi="Times New Roman" w:cs="Times New Roman"/>
        <w:sz w:val="24"/>
        <w:szCs w:val="24"/>
      </w:rPr>
    </w:pPr>
    <w:r w:rsidRPr="004B55DE">
      <w:rPr>
        <w:rFonts w:ascii="Times New Roman" w:hAnsi="Times New Roman" w:cs="Times New Roman"/>
        <w:sz w:val="24"/>
        <w:szCs w:val="24"/>
      </w:rPr>
      <w:t>Running head: HOMEWORK 1</w:t>
    </w:r>
    <w:sdt>
      <w:sdtPr>
        <w:rPr>
          <w:rFonts w:ascii="Times New Roman" w:hAnsi="Times New Roman" w:cs="Times New Roman"/>
          <w:sz w:val="24"/>
          <w:szCs w:val="24"/>
        </w:rPr>
        <w:id w:val="147171220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B55DE">
          <w:rPr>
            <w:rFonts w:ascii="Times New Roman" w:hAnsi="Times New Roman" w:cs="Times New Roman"/>
            <w:sz w:val="24"/>
            <w:szCs w:val="24"/>
          </w:rPr>
          <w:fldChar w:fldCharType="begin"/>
        </w:r>
        <w:r w:rsidRPr="004B55DE">
          <w:rPr>
            <w:rFonts w:ascii="Times New Roman" w:hAnsi="Times New Roman" w:cs="Times New Roman"/>
            <w:sz w:val="24"/>
            <w:szCs w:val="24"/>
          </w:rPr>
          <w:instrText xml:space="preserve"> PAGE   \* MERGEFORMAT </w:instrText>
        </w:r>
        <w:r w:rsidRPr="004B55DE">
          <w:rPr>
            <w:rFonts w:ascii="Times New Roman" w:hAnsi="Times New Roman" w:cs="Times New Roman"/>
            <w:sz w:val="24"/>
            <w:szCs w:val="24"/>
          </w:rPr>
          <w:fldChar w:fldCharType="separate"/>
        </w:r>
        <w:r w:rsidR="009623BE">
          <w:rPr>
            <w:rFonts w:ascii="Times New Roman" w:hAnsi="Times New Roman" w:cs="Times New Roman"/>
            <w:noProof/>
            <w:sz w:val="24"/>
            <w:szCs w:val="24"/>
          </w:rPr>
          <w:t>1</w:t>
        </w:r>
        <w:r w:rsidRPr="004B55DE">
          <w:rPr>
            <w:rFonts w:ascii="Times New Roman" w:hAnsi="Times New Roman" w:cs="Times New Roman"/>
            <w:noProof/>
            <w:sz w:val="24"/>
            <w:szCs w:val="24"/>
          </w:rPr>
          <w:fldChar w:fldCharType="end"/>
        </w:r>
      </w:sdtContent>
    </w:sdt>
  </w:p>
  <w:p w:rsidR="004B55DE" w:rsidRDefault="004B5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C30"/>
    <w:rsid w:val="00050C53"/>
    <w:rsid w:val="00081C30"/>
    <w:rsid w:val="000A2C73"/>
    <w:rsid w:val="000C1B0A"/>
    <w:rsid w:val="00163D9B"/>
    <w:rsid w:val="001728AF"/>
    <w:rsid w:val="00231244"/>
    <w:rsid w:val="002D45E0"/>
    <w:rsid w:val="00332183"/>
    <w:rsid w:val="003C00C8"/>
    <w:rsid w:val="00425AF8"/>
    <w:rsid w:val="00442E71"/>
    <w:rsid w:val="00457F36"/>
    <w:rsid w:val="004B55DE"/>
    <w:rsid w:val="00625A1B"/>
    <w:rsid w:val="006F57C4"/>
    <w:rsid w:val="00715A4B"/>
    <w:rsid w:val="00865130"/>
    <w:rsid w:val="008D0295"/>
    <w:rsid w:val="00936914"/>
    <w:rsid w:val="009623BE"/>
    <w:rsid w:val="00996B52"/>
    <w:rsid w:val="009B43C9"/>
    <w:rsid w:val="009E36E7"/>
    <w:rsid w:val="00A157AB"/>
    <w:rsid w:val="00AE6C0A"/>
    <w:rsid w:val="00B97A8D"/>
    <w:rsid w:val="00BC0A11"/>
    <w:rsid w:val="00C4261C"/>
    <w:rsid w:val="00CB2182"/>
    <w:rsid w:val="00D75072"/>
    <w:rsid w:val="00E71ACB"/>
    <w:rsid w:val="00E761A2"/>
    <w:rsid w:val="00E9454C"/>
    <w:rsid w:val="00F100CC"/>
    <w:rsid w:val="00FE6C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5DE"/>
    <w:pPr>
      <w:tabs>
        <w:tab w:val="center" w:pos="4680"/>
        <w:tab w:val="right" w:pos="9360"/>
      </w:tabs>
      <w:spacing w:line="240" w:lineRule="auto"/>
    </w:pPr>
  </w:style>
  <w:style w:type="character" w:customStyle="1" w:styleId="HeaderChar">
    <w:name w:val="Header Char"/>
    <w:basedOn w:val="DefaultParagraphFont"/>
    <w:link w:val="Header"/>
    <w:uiPriority w:val="99"/>
    <w:rsid w:val="004B55DE"/>
  </w:style>
  <w:style w:type="paragraph" w:styleId="Footer">
    <w:name w:val="footer"/>
    <w:basedOn w:val="Normal"/>
    <w:link w:val="FooterChar"/>
    <w:uiPriority w:val="99"/>
    <w:unhideWhenUsed/>
    <w:rsid w:val="004B55DE"/>
    <w:pPr>
      <w:tabs>
        <w:tab w:val="center" w:pos="4680"/>
        <w:tab w:val="right" w:pos="9360"/>
      </w:tabs>
      <w:spacing w:line="240" w:lineRule="auto"/>
    </w:pPr>
  </w:style>
  <w:style w:type="character" w:customStyle="1" w:styleId="FooterChar">
    <w:name w:val="Footer Char"/>
    <w:basedOn w:val="DefaultParagraphFont"/>
    <w:link w:val="Footer"/>
    <w:uiPriority w:val="99"/>
    <w:rsid w:val="004B55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5DE"/>
    <w:pPr>
      <w:tabs>
        <w:tab w:val="center" w:pos="4680"/>
        <w:tab w:val="right" w:pos="9360"/>
      </w:tabs>
      <w:spacing w:line="240" w:lineRule="auto"/>
    </w:pPr>
  </w:style>
  <w:style w:type="character" w:customStyle="1" w:styleId="HeaderChar">
    <w:name w:val="Header Char"/>
    <w:basedOn w:val="DefaultParagraphFont"/>
    <w:link w:val="Header"/>
    <w:uiPriority w:val="99"/>
    <w:rsid w:val="004B55DE"/>
  </w:style>
  <w:style w:type="paragraph" w:styleId="Footer">
    <w:name w:val="footer"/>
    <w:basedOn w:val="Normal"/>
    <w:link w:val="FooterChar"/>
    <w:uiPriority w:val="99"/>
    <w:unhideWhenUsed/>
    <w:rsid w:val="004B55DE"/>
    <w:pPr>
      <w:tabs>
        <w:tab w:val="center" w:pos="4680"/>
        <w:tab w:val="right" w:pos="9360"/>
      </w:tabs>
      <w:spacing w:line="240" w:lineRule="auto"/>
    </w:pPr>
  </w:style>
  <w:style w:type="character" w:customStyle="1" w:styleId="FooterChar">
    <w:name w:val="Footer Char"/>
    <w:basedOn w:val="DefaultParagraphFont"/>
    <w:link w:val="Footer"/>
    <w:uiPriority w:val="99"/>
    <w:rsid w:val="004B5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68383">
      <w:bodyDiv w:val="1"/>
      <w:marLeft w:val="0"/>
      <w:marRight w:val="0"/>
      <w:marTop w:val="0"/>
      <w:marBottom w:val="0"/>
      <w:divBdr>
        <w:top w:val="none" w:sz="0" w:space="0" w:color="auto"/>
        <w:left w:val="none" w:sz="0" w:space="0" w:color="auto"/>
        <w:bottom w:val="none" w:sz="0" w:space="0" w:color="auto"/>
        <w:right w:val="none" w:sz="0" w:space="0" w:color="auto"/>
      </w:divBdr>
      <w:divsChild>
        <w:div w:id="2111465009">
          <w:marLeft w:val="0"/>
          <w:marRight w:val="0"/>
          <w:marTop w:val="0"/>
          <w:marBottom w:val="0"/>
          <w:divBdr>
            <w:top w:val="none" w:sz="0" w:space="0" w:color="auto"/>
            <w:left w:val="none" w:sz="0" w:space="0" w:color="auto"/>
            <w:bottom w:val="none" w:sz="0" w:space="0" w:color="auto"/>
            <w:right w:val="none" w:sz="0" w:space="0" w:color="auto"/>
          </w:divBdr>
        </w:div>
      </w:divsChild>
    </w:div>
    <w:div w:id="267353189">
      <w:bodyDiv w:val="1"/>
      <w:marLeft w:val="0"/>
      <w:marRight w:val="0"/>
      <w:marTop w:val="0"/>
      <w:marBottom w:val="0"/>
      <w:divBdr>
        <w:top w:val="none" w:sz="0" w:space="0" w:color="auto"/>
        <w:left w:val="none" w:sz="0" w:space="0" w:color="auto"/>
        <w:bottom w:val="none" w:sz="0" w:space="0" w:color="auto"/>
        <w:right w:val="none" w:sz="0" w:space="0" w:color="auto"/>
      </w:divBdr>
      <w:divsChild>
        <w:div w:id="906262657">
          <w:marLeft w:val="0"/>
          <w:marRight w:val="0"/>
          <w:marTop w:val="0"/>
          <w:marBottom w:val="0"/>
          <w:divBdr>
            <w:top w:val="none" w:sz="0" w:space="0" w:color="auto"/>
            <w:left w:val="none" w:sz="0" w:space="0" w:color="auto"/>
            <w:bottom w:val="none" w:sz="0" w:space="0" w:color="auto"/>
            <w:right w:val="none" w:sz="0" w:space="0" w:color="auto"/>
          </w:divBdr>
        </w:div>
      </w:divsChild>
    </w:div>
    <w:div w:id="743842685">
      <w:bodyDiv w:val="1"/>
      <w:marLeft w:val="0"/>
      <w:marRight w:val="0"/>
      <w:marTop w:val="0"/>
      <w:marBottom w:val="0"/>
      <w:divBdr>
        <w:top w:val="none" w:sz="0" w:space="0" w:color="auto"/>
        <w:left w:val="none" w:sz="0" w:space="0" w:color="auto"/>
        <w:bottom w:val="none" w:sz="0" w:space="0" w:color="auto"/>
        <w:right w:val="none" w:sz="0" w:space="0" w:color="auto"/>
      </w:divBdr>
      <w:divsChild>
        <w:div w:id="281035665">
          <w:marLeft w:val="0"/>
          <w:marRight w:val="0"/>
          <w:marTop w:val="0"/>
          <w:marBottom w:val="0"/>
          <w:divBdr>
            <w:top w:val="none" w:sz="0" w:space="0" w:color="auto"/>
            <w:left w:val="none" w:sz="0" w:space="0" w:color="auto"/>
            <w:bottom w:val="none" w:sz="0" w:space="0" w:color="auto"/>
            <w:right w:val="none" w:sz="0" w:space="0" w:color="auto"/>
          </w:divBdr>
        </w:div>
      </w:divsChild>
    </w:div>
    <w:div w:id="776876127">
      <w:bodyDiv w:val="1"/>
      <w:marLeft w:val="0"/>
      <w:marRight w:val="0"/>
      <w:marTop w:val="0"/>
      <w:marBottom w:val="0"/>
      <w:divBdr>
        <w:top w:val="none" w:sz="0" w:space="0" w:color="auto"/>
        <w:left w:val="none" w:sz="0" w:space="0" w:color="auto"/>
        <w:bottom w:val="none" w:sz="0" w:space="0" w:color="auto"/>
        <w:right w:val="none" w:sz="0" w:space="0" w:color="auto"/>
      </w:divBdr>
      <w:divsChild>
        <w:div w:id="1353068872">
          <w:marLeft w:val="0"/>
          <w:marRight w:val="0"/>
          <w:marTop w:val="0"/>
          <w:marBottom w:val="0"/>
          <w:divBdr>
            <w:top w:val="none" w:sz="0" w:space="0" w:color="auto"/>
            <w:left w:val="none" w:sz="0" w:space="0" w:color="auto"/>
            <w:bottom w:val="none" w:sz="0" w:space="0" w:color="auto"/>
            <w:right w:val="none" w:sz="0" w:space="0" w:color="auto"/>
          </w:divBdr>
        </w:div>
      </w:divsChild>
    </w:div>
    <w:div w:id="799343377">
      <w:bodyDiv w:val="1"/>
      <w:marLeft w:val="0"/>
      <w:marRight w:val="0"/>
      <w:marTop w:val="0"/>
      <w:marBottom w:val="0"/>
      <w:divBdr>
        <w:top w:val="none" w:sz="0" w:space="0" w:color="auto"/>
        <w:left w:val="none" w:sz="0" w:space="0" w:color="auto"/>
        <w:bottom w:val="none" w:sz="0" w:space="0" w:color="auto"/>
        <w:right w:val="none" w:sz="0" w:space="0" w:color="auto"/>
      </w:divBdr>
      <w:divsChild>
        <w:div w:id="1042901224">
          <w:marLeft w:val="0"/>
          <w:marRight w:val="0"/>
          <w:marTop w:val="0"/>
          <w:marBottom w:val="0"/>
          <w:divBdr>
            <w:top w:val="none" w:sz="0" w:space="0" w:color="auto"/>
            <w:left w:val="none" w:sz="0" w:space="0" w:color="auto"/>
            <w:bottom w:val="none" w:sz="0" w:space="0" w:color="auto"/>
            <w:right w:val="none" w:sz="0" w:space="0" w:color="auto"/>
          </w:divBdr>
        </w:div>
      </w:divsChild>
    </w:div>
    <w:div w:id="910432970">
      <w:bodyDiv w:val="1"/>
      <w:marLeft w:val="0"/>
      <w:marRight w:val="0"/>
      <w:marTop w:val="0"/>
      <w:marBottom w:val="0"/>
      <w:divBdr>
        <w:top w:val="none" w:sz="0" w:space="0" w:color="auto"/>
        <w:left w:val="none" w:sz="0" w:space="0" w:color="auto"/>
        <w:bottom w:val="none" w:sz="0" w:space="0" w:color="auto"/>
        <w:right w:val="none" w:sz="0" w:space="0" w:color="auto"/>
      </w:divBdr>
      <w:divsChild>
        <w:div w:id="260459323">
          <w:marLeft w:val="0"/>
          <w:marRight w:val="0"/>
          <w:marTop w:val="0"/>
          <w:marBottom w:val="0"/>
          <w:divBdr>
            <w:top w:val="none" w:sz="0" w:space="0" w:color="auto"/>
            <w:left w:val="none" w:sz="0" w:space="0" w:color="auto"/>
            <w:bottom w:val="none" w:sz="0" w:space="0" w:color="auto"/>
            <w:right w:val="none" w:sz="0" w:space="0" w:color="auto"/>
          </w:divBdr>
        </w:div>
      </w:divsChild>
    </w:div>
    <w:div w:id="1372607097">
      <w:bodyDiv w:val="1"/>
      <w:marLeft w:val="0"/>
      <w:marRight w:val="0"/>
      <w:marTop w:val="0"/>
      <w:marBottom w:val="0"/>
      <w:divBdr>
        <w:top w:val="none" w:sz="0" w:space="0" w:color="auto"/>
        <w:left w:val="none" w:sz="0" w:space="0" w:color="auto"/>
        <w:bottom w:val="none" w:sz="0" w:space="0" w:color="auto"/>
        <w:right w:val="none" w:sz="0" w:space="0" w:color="auto"/>
      </w:divBdr>
      <w:divsChild>
        <w:div w:id="2020623170">
          <w:marLeft w:val="0"/>
          <w:marRight w:val="0"/>
          <w:marTop w:val="0"/>
          <w:marBottom w:val="0"/>
          <w:divBdr>
            <w:top w:val="none" w:sz="0" w:space="0" w:color="auto"/>
            <w:left w:val="none" w:sz="0" w:space="0" w:color="auto"/>
            <w:bottom w:val="none" w:sz="0" w:space="0" w:color="auto"/>
            <w:right w:val="none" w:sz="0" w:space="0" w:color="auto"/>
          </w:divBdr>
        </w:div>
      </w:divsChild>
    </w:div>
    <w:div w:id="1504665290">
      <w:bodyDiv w:val="1"/>
      <w:marLeft w:val="0"/>
      <w:marRight w:val="0"/>
      <w:marTop w:val="0"/>
      <w:marBottom w:val="0"/>
      <w:divBdr>
        <w:top w:val="none" w:sz="0" w:space="0" w:color="auto"/>
        <w:left w:val="none" w:sz="0" w:space="0" w:color="auto"/>
        <w:bottom w:val="none" w:sz="0" w:space="0" w:color="auto"/>
        <w:right w:val="none" w:sz="0" w:space="0" w:color="auto"/>
      </w:divBdr>
      <w:divsChild>
        <w:div w:id="2122677996">
          <w:marLeft w:val="0"/>
          <w:marRight w:val="0"/>
          <w:marTop w:val="0"/>
          <w:marBottom w:val="0"/>
          <w:divBdr>
            <w:top w:val="none" w:sz="0" w:space="0" w:color="auto"/>
            <w:left w:val="none" w:sz="0" w:space="0" w:color="auto"/>
            <w:bottom w:val="none" w:sz="0" w:space="0" w:color="auto"/>
            <w:right w:val="none" w:sz="0" w:space="0" w:color="auto"/>
          </w:divBdr>
        </w:div>
      </w:divsChild>
    </w:div>
    <w:div w:id="1524198730">
      <w:bodyDiv w:val="1"/>
      <w:marLeft w:val="0"/>
      <w:marRight w:val="0"/>
      <w:marTop w:val="0"/>
      <w:marBottom w:val="0"/>
      <w:divBdr>
        <w:top w:val="none" w:sz="0" w:space="0" w:color="auto"/>
        <w:left w:val="none" w:sz="0" w:space="0" w:color="auto"/>
        <w:bottom w:val="none" w:sz="0" w:space="0" w:color="auto"/>
        <w:right w:val="none" w:sz="0" w:space="0" w:color="auto"/>
      </w:divBdr>
      <w:divsChild>
        <w:div w:id="1959755524">
          <w:marLeft w:val="0"/>
          <w:marRight w:val="0"/>
          <w:marTop w:val="0"/>
          <w:marBottom w:val="0"/>
          <w:divBdr>
            <w:top w:val="none" w:sz="0" w:space="0" w:color="auto"/>
            <w:left w:val="none" w:sz="0" w:space="0" w:color="auto"/>
            <w:bottom w:val="none" w:sz="0" w:space="0" w:color="auto"/>
            <w:right w:val="none" w:sz="0" w:space="0" w:color="auto"/>
          </w:divBdr>
        </w:div>
      </w:divsChild>
    </w:div>
    <w:div w:id="1564633950">
      <w:bodyDiv w:val="1"/>
      <w:marLeft w:val="0"/>
      <w:marRight w:val="0"/>
      <w:marTop w:val="0"/>
      <w:marBottom w:val="0"/>
      <w:divBdr>
        <w:top w:val="none" w:sz="0" w:space="0" w:color="auto"/>
        <w:left w:val="none" w:sz="0" w:space="0" w:color="auto"/>
        <w:bottom w:val="none" w:sz="0" w:space="0" w:color="auto"/>
        <w:right w:val="none" w:sz="0" w:space="0" w:color="auto"/>
      </w:divBdr>
      <w:divsChild>
        <w:div w:id="761797383">
          <w:marLeft w:val="0"/>
          <w:marRight w:val="0"/>
          <w:marTop w:val="0"/>
          <w:marBottom w:val="0"/>
          <w:divBdr>
            <w:top w:val="none" w:sz="0" w:space="0" w:color="auto"/>
            <w:left w:val="none" w:sz="0" w:space="0" w:color="auto"/>
            <w:bottom w:val="none" w:sz="0" w:space="0" w:color="auto"/>
            <w:right w:val="none" w:sz="0" w:space="0" w:color="auto"/>
          </w:divBdr>
        </w:div>
      </w:divsChild>
    </w:div>
    <w:div w:id="2010862992">
      <w:bodyDiv w:val="1"/>
      <w:marLeft w:val="0"/>
      <w:marRight w:val="0"/>
      <w:marTop w:val="0"/>
      <w:marBottom w:val="0"/>
      <w:divBdr>
        <w:top w:val="none" w:sz="0" w:space="0" w:color="auto"/>
        <w:left w:val="none" w:sz="0" w:space="0" w:color="auto"/>
        <w:bottom w:val="none" w:sz="0" w:space="0" w:color="auto"/>
        <w:right w:val="none" w:sz="0" w:space="0" w:color="auto"/>
      </w:divBdr>
      <w:divsChild>
        <w:div w:id="1639919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Nderi</cp:lastModifiedBy>
  <cp:revision>2</cp:revision>
  <dcterms:created xsi:type="dcterms:W3CDTF">2017-10-31T15:43:00Z</dcterms:created>
  <dcterms:modified xsi:type="dcterms:W3CDTF">2017-10-31T15:43:00Z</dcterms:modified>
</cp:coreProperties>
</file>